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87" w:rsidRDefault="000F318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F3187" w:rsidRDefault="000F318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0F318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F3187" w:rsidRDefault="000F3187">
            <w:pPr>
              <w:pStyle w:val="ConsPlusNormal"/>
            </w:pPr>
            <w:r>
              <w:t>26 ноября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F3187" w:rsidRDefault="000F3187">
            <w:pPr>
              <w:pStyle w:val="ConsPlusNormal"/>
              <w:jc w:val="right"/>
            </w:pPr>
            <w:r>
              <w:t>N 118-ЗСО</w:t>
            </w:r>
          </w:p>
        </w:tc>
      </w:tr>
    </w:tbl>
    <w:p w:rsidR="000F3187" w:rsidRDefault="000F31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3187" w:rsidRDefault="000F3187">
      <w:pPr>
        <w:pStyle w:val="ConsPlusNormal"/>
        <w:jc w:val="both"/>
      </w:pPr>
    </w:p>
    <w:p w:rsidR="000F3187" w:rsidRDefault="000F3187">
      <w:pPr>
        <w:pStyle w:val="ConsPlusTitle"/>
        <w:jc w:val="center"/>
      </w:pPr>
      <w:r>
        <w:t>РОССИЙСКАЯ ФЕДЕРАЦИЯ</w:t>
      </w:r>
    </w:p>
    <w:p w:rsidR="000F3187" w:rsidRDefault="000F3187">
      <w:pPr>
        <w:pStyle w:val="ConsPlusTitle"/>
        <w:jc w:val="both"/>
      </w:pPr>
    </w:p>
    <w:p w:rsidR="000F3187" w:rsidRDefault="000F3187">
      <w:pPr>
        <w:pStyle w:val="ConsPlusTitle"/>
        <w:jc w:val="center"/>
      </w:pPr>
      <w:r>
        <w:t>ЗАКОН</w:t>
      </w:r>
    </w:p>
    <w:p w:rsidR="000F3187" w:rsidRDefault="000F3187">
      <w:pPr>
        <w:pStyle w:val="ConsPlusTitle"/>
        <w:jc w:val="center"/>
      </w:pPr>
      <w:r>
        <w:t>САРАТОВСКОЙ ОБЛАСТИ</w:t>
      </w:r>
    </w:p>
    <w:p w:rsidR="000F3187" w:rsidRDefault="000F3187">
      <w:pPr>
        <w:pStyle w:val="ConsPlusTitle"/>
        <w:jc w:val="both"/>
      </w:pPr>
    </w:p>
    <w:p w:rsidR="000F3187" w:rsidRDefault="000F3187">
      <w:pPr>
        <w:pStyle w:val="ConsPlusTitle"/>
        <w:jc w:val="center"/>
      </w:pPr>
      <w:r>
        <w:t>ОБ ИНВЕСТИЦИОННОМ НАЛОГОВОМ ВЫЧЕТЕ</w:t>
      </w:r>
    </w:p>
    <w:p w:rsidR="000F3187" w:rsidRDefault="000F3187">
      <w:pPr>
        <w:pStyle w:val="ConsPlusNormal"/>
        <w:jc w:val="both"/>
      </w:pPr>
    </w:p>
    <w:p w:rsidR="000F3187" w:rsidRDefault="000F3187">
      <w:pPr>
        <w:pStyle w:val="ConsPlusNormal"/>
        <w:jc w:val="right"/>
      </w:pPr>
      <w:proofErr w:type="gramStart"/>
      <w:r>
        <w:t>Принят</w:t>
      </w:r>
      <w:proofErr w:type="gramEnd"/>
    </w:p>
    <w:p w:rsidR="000F3187" w:rsidRDefault="000F3187">
      <w:pPr>
        <w:pStyle w:val="ConsPlusNormal"/>
        <w:jc w:val="right"/>
      </w:pPr>
      <w:r>
        <w:t>Саратовской областной Думой</w:t>
      </w:r>
    </w:p>
    <w:p w:rsidR="000F3187" w:rsidRDefault="000F3187">
      <w:pPr>
        <w:pStyle w:val="ConsPlusNormal"/>
        <w:jc w:val="right"/>
      </w:pPr>
      <w:r>
        <w:t>20 ноября 2019 года</w:t>
      </w:r>
    </w:p>
    <w:p w:rsidR="000F3187" w:rsidRDefault="000F318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F31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187" w:rsidRDefault="000F318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187" w:rsidRDefault="000F318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3187" w:rsidRDefault="000F31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3187" w:rsidRDefault="000F318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Саратовской области</w:t>
            </w:r>
            <w:proofErr w:type="gramEnd"/>
          </w:p>
          <w:p w:rsidR="000F3187" w:rsidRDefault="000F3187">
            <w:pPr>
              <w:pStyle w:val="ConsPlusNormal"/>
              <w:jc w:val="center"/>
            </w:pPr>
            <w:r>
              <w:rPr>
                <w:color w:val="392C69"/>
              </w:rPr>
              <w:t>от 30.06.2020 N 77-ЗСО)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187" w:rsidRDefault="000F3187"/>
        </w:tc>
      </w:tr>
    </w:tbl>
    <w:p w:rsidR="000F3187" w:rsidRDefault="000F3187">
      <w:pPr>
        <w:pStyle w:val="ConsPlusNormal"/>
        <w:jc w:val="both"/>
      </w:pPr>
    </w:p>
    <w:p w:rsidR="000F3187" w:rsidRDefault="000F3187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0F3187" w:rsidRDefault="000F3187">
      <w:pPr>
        <w:pStyle w:val="ConsPlusNormal"/>
        <w:jc w:val="both"/>
      </w:pPr>
    </w:p>
    <w:p w:rsidR="000F3187" w:rsidRDefault="000F3187">
      <w:pPr>
        <w:pStyle w:val="ConsPlusNormal"/>
        <w:ind w:firstLine="540"/>
        <w:jc w:val="both"/>
      </w:pPr>
      <w:r>
        <w:t xml:space="preserve">Настоящим Законом устанавливается право на применение инвестиционного налогового вычета в отношении расходов налогоплательщика, указанных в </w:t>
      </w:r>
      <w:hyperlink r:id="rId6" w:history="1">
        <w:r>
          <w:rPr>
            <w:color w:val="0000FF"/>
          </w:rPr>
          <w:t>подпунктах 1</w:t>
        </w:r>
      </w:hyperlink>
      <w:r>
        <w:t xml:space="preserve"> и </w:t>
      </w:r>
      <w:hyperlink r:id="rId7" w:history="1">
        <w:r>
          <w:rPr>
            <w:color w:val="0000FF"/>
          </w:rPr>
          <w:t>2 пункта 2 статьи 286.1</w:t>
        </w:r>
      </w:hyperlink>
      <w:r>
        <w:t xml:space="preserve"> Налогового </w:t>
      </w:r>
      <w:hyperlink r:id="rId8" w:history="1">
        <w:r>
          <w:rPr>
            <w:color w:val="0000FF"/>
          </w:rPr>
          <w:t>кодекса</w:t>
        </w:r>
      </w:hyperlink>
      <w:r>
        <w:t xml:space="preserve"> Российской Федерации (далее - Кодекс), применительно к объектам основных средств, относящимся к организациям или обособленным подразделениям организаций, расположенным на территории Саратовской области.</w:t>
      </w:r>
    </w:p>
    <w:p w:rsidR="000F3187" w:rsidRDefault="000F3187">
      <w:pPr>
        <w:pStyle w:val="ConsPlusNormal"/>
        <w:jc w:val="both"/>
      </w:pPr>
    </w:p>
    <w:p w:rsidR="000F3187" w:rsidRDefault="000F3187">
      <w:pPr>
        <w:pStyle w:val="ConsPlusTitle"/>
        <w:ind w:firstLine="540"/>
        <w:jc w:val="both"/>
        <w:outlineLvl w:val="0"/>
      </w:pPr>
      <w:r>
        <w:t>Статья 2. Размер инвестиционного налогового вычета</w:t>
      </w:r>
    </w:p>
    <w:p w:rsidR="000F3187" w:rsidRDefault="000F3187">
      <w:pPr>
        <w:pStyle w:val="ConsPlusNormal"/>
        <w:jc w:val="both"/>
      </w:pPr>
    </w:p>
    <w:p w:rsidR="000F3187" w:rsidRDefault="000F3187">
      <w:pPr>
        <w:pStyle w:val="ConsPlusNormal"/>
        <w:ind w:firstLine="540"/>
        <w:jc w:val="both"/>
      </w:pPr>
      <w:r>
        <w:t>1. Установить, что размер инвестиционного налогового вычета составляет:</w:t>
      </w:r>
    </w:p>
    <w:p w:rsidR="000F3187" w:rsidRDefault="000F3187">
      <w:pPr>
        <w:pStyle w:val="ConsPlusNormal"/>
        <w:spacing w:before="220"/>
        <w:ind w:firstLine="540"/>
        <w:jc w:val="both"/>
      </w:pPr>
      <w:r>
        <w:t xml:space="preserve">1) не более 40 процентов суммы расходов, составляющей первоначальную стоимость основного средства в соответствии с </w:t>
      </w:r>
      <w:hyperlink r:id="rId9" w:history="1">
        <w:r>
          <w:rPr>
            <w:color w:val="0000FF"/>
          </w:rPr>
          <w:t>абзацем вторым пункта 1 статьи 257</w:t>
        </w:r>
      </w:hyperlink>
      <w:r>
        <w:t xml:space="preserve"> Кодекса;</w:t>
      </w:r>
    </w:p>
    <w:p w:rsidR="000F3187" w:rsidRDefault="000F3187">
      <w:pPr>
        <w:pStyle w:val="ConsPlusNormal"/>
        <w:spacing w:before="220"/>
        <w:ind w:firstLine="540"/>
        <w:jc w:val="both"/>
      </w:pPr>
      <w:r>
        <w:t xml:space="preserve">2) не более 40 процентов суммы расходов, составляющей величину изменения первоначальной стоимости основного средства в случаях, указанных в </w:t>
      </w:r>
      <w:hyperlink r:id="rId10" w:history="1">
        <w:r>
          <w:rPr>
            <w:color w:val="0000FF"/>
          </w:rPr>
          <w:t>пункте 2 статьи 257</w:t>
        </w:r>
      </w:hyperlink>
      <w:r>
        <w:t xml:space="preserve"> Кодекса (за исключением частичной ликвидации основного средства).</w:t>
      </w:r>
    </w:p>
    <w:p w:rsidR="000F3187" w:rsidRDefault="000F3187">
      <w:pPr>
        <w:pStyle w:val="ConsPlusNormal"/>
        <w:spacing w:before="220"/>
        <w:ind w:firstLine="540"/>
        <w:jc w:val="both"/>
      </w:pPr>
      <w:r>
        <w:t>2. В целях применения инвестиционного налогового вычета размер ставки налога на прибыль организаций, подлежащего зачислению в областной бюджет, для определения предельной величины инвестиционного налогового вычета устанавливается в размере 10 процентов.</w:t>
      </w:r>
    </w:p>
    <w:p w:rsidR="000F3187" w:rsidRDefault="000F3187">
      <w:pPr>
        <w:pStyle w:val="ConsPlusNormal"/>
        <w:spacing w:before="220"/>
        <w:ind w:firstLine="540"/>
        <w:jc w:val="both"/>
      </w:pPr>
      <w:r>
        <w:t>3. Сумма расходов налогоплательщика, превышающая в налоговом (отчетном) периоде предельную величину инвестиционного налогового вычета, может быть учтена при определении инвестиционного налогового вычета в течение трех последующих налоговых (отчетных) периодов, считая с налогового (отчетного) периода, следующего за налоговым (отчетным) периодом, в котором сумма таких расходов превысила предельную величину инвестиционного налогового вычета.</w:t>
      </w:r>
    </w:p>
    <w:p w:rsidR="000F3187" w:rsidRDefault="000F3187">
      <w:pPr>
        <w:pStyle w:val="ConsPlusNormal"/>
        <w:jc w:val="both"/>
      </w:pPr>
    </w:p>
    <w:p w:rsidR="000F3187" w:rsidRDefault="000F3187">
      <w:pPr>
        <w:pStyle w:val="ConsPlusTitle"/>
        <w:ind w:firstLine="540"/>
        <w:jc w:val="both"/>
        <w:outlineLvl w:val="0"/>
      </w:pPr>
      <w:r>
        <w:t>Статья 3. Категория налогоплательщиков, которым предоставляется право на применение инвестиционного налогового вычета</w:t>
      </w:r>
    </w:p>
    <w:p w:rsidR="000F3187" w:rsidRDefault="000F3187">
      <w:pPr>
        <w:pStyle w:val="ConsPlusNormal"/>
        <w:jc w:val="both"/>
      </w:pPr>
    </w:p>
    <w:p w:rsidR="000F3187" w:rsidRDefault="000F3187">
      <w:pPr>
        <w:pStyle w:val="ConsPlusNormal"/>
        <w:ind w:firstLine="540"/>
        <w:jc w:val="both"/>
      </w:pPr>
      <w:r>
        <w:t>Право на применение инвестиционного налогового вычета предоставляется категории налогоплательщиков, одновременно соблюдающих следующие условия:</w:t>
      </w:r>
    </w:p>
    <w:p w:rsidR="000F3187" w:rsidRDefault="000F3187">
      <w:pPr>
        <w:pStyle w:val="ConsPlusNormal"/>
        <w:spacing w:before="220"/>
        <w:ind w:firstLine="540"/>
        <w:jc w:val="both"/>
      </w:pPr>
      <w:r>
        <w:t>налогоплательщик реализует инвестиционный проект, связанный с осуществлением капитальных вложений в объекты основных средств, расположенные на территории области;</w:t>
      </w:r>
    </w:p>
    <w:p w:rsidR="000F3187" w:rsidRDefault="000F3187">
      <w:pPr>
        <w:pStyle w:val="ConsPlusNormal"/>
        <w:spacing w:before="220"/>
        <w:ind w:firstLine="540"/>
        <w:jc w:val="both"/>
      </w:pPr>
      <w:r>
        <w:t>налогоплательщиком заключен с уполномоченным исполнительным органом государственной власти области инвестиционный договор, или соглашение о государственно-частном партнерстве, или концессионное соглашение;</w:t>
      </w:r>
    </w:p>
    <w:p w:rsidR="000F3187" w:rsidRDefault="000F3187">
      <w:pPr>
        <w:pStyle w:val="ConsPlusNormal"/>
        <w:spacing w:before="220"/>
        <w:ind w:firstLine="540"/>
        <w:jc w:val="both"/>
      </w:pPr>
      <w:r>
        <w:t xml:space="preserve">налогоплательщиком не используется ставка налога на прибыль организаций, установленная </w:t>
      </w:r>
      <w:hyperlink r:id="rId11" w:history="1">
        <w:r>
          <w:rPr>
            <w:color w:val="0000FF"/>
          </w:rPr>
          <w:t>частью 1 статьи 1</w:t>
        </w:r>
      </w:hyperlink>
      <w:r>
        <w:t xml:space="preserve"> Закона Саратовской области от 1 августа 2007 года N 131-ЗСО "О ставках налога на прибыль организаций в отношении инвесторов, осуществляющих инвестиционную деятельность на территории Саратовской области";</w:t>
      </w:r>
    </w:p>
    <w:p w:rsidR="000F3187" w:rsidRDefault="000F3187">
      <w:pPr>
        <w:pStyle w:val="ConsPlusNormal"/>
        <w:spacing w:before="220"/>
        <w:ind w:firstLine="540"/>
        <w:jc w:val="both"/>
      </w:pPr>
      <w:r>
        <w:t xml:space="preserve">удельный вес доходов налогоплательщика составляет не менее 70 процентов от осуществления одного или нескольких видов экономической деятельности, имеющих следующие кодовые обозначения согласно Общероссийскому </w:t>
      </w:r>
      <w:hyperlink r:id="rId12" w:history="1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ОК 029-2014 (КДЕС</w:t>
      </w:r>
      <w:proofErr w:type="gramStart"/>
      <w:r>
        <w:t xml:space="preserve"> Р</w:t>
      </w:r>
      <w:proofErr w:type="gramEnd"/>
      <w:r>
        <w:t>ед. 2):</w:t>
      </w:r>
    </w:p>
    <w:p w:rsidR="000F3187" w:rsidRDefault="000F3187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01</w:t>
        </w:r>
      </w:hyperlink>
      <w:r>
        <w:t xml:space="preserve"> Растениеводство и животноводство, охота и предоставление соответствующих услуг в этих областях;</w:t>
      </w:r>
    </w:p>
    <w:p w:rsidR="000F3187" w:rsidRDefault="000F3187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03</w:t>
        </w:r>
      </w:hyperlink>
      <w:r>
        <w:t xml:space="preserve"> Рыболовство и рыбоводство;</w:t>
      </w:r>
    </w:p>
    <w:p w:rsidR="000F3187" w:rsidRDefault="000F3187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10</w:t>
        </w:r>
      </w:hyperlink>
      <w:r>
        <w:t xml:space="preserve"> Производство пищевых продуктов;</w:t>
      </w:r>
    </w:p>
    <w:p w:rsidR="000F3187" w:rsidRDefault="000F3187">
      <w:pPr>
        <w:pStyle w:val="ConsPlusNormal"/>
        <w:jc w:val="both"/>
      </w:pPr>
      <w:r>
        <w:t xml:space="preserve">(абзац введен </w:t>
      </w:r>
      <w:hyperlink r:id="rId16" w:history="1">
        <w:r>
          <w:rPr>
            <w:color w:val="0000FF"/>
          </w:rPr>
          <w:t>Законом</w:t>
        </w:r>
      </w:hyperlink>
      <w:r>
        <w:t xml:space="preserve"> Саратовской области от 30.06.2020 N 77-ЗСО)</w:t>
      </w:r>
    </w:p>
    <w:p w:rsidR="000F3187" w:rsidRDefault="000F3187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21</w:t>
        </w:r>
      </w:hyperlink>
      <w:r>
        <w:t xml:space="preserve"> Производство лекарственных средств и материалов, применяемых в медицинских целях;</w:t>
      </w:r>
    </w:p>
    <w:p w:rsidR="000F3187" w:rsidRDefault="000F3187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26</w:t>
        </w:r>
      </w:hyperlink>
      <w:r>
        <w:t xml:space="preserve"> Производство компьютеров, электронных и оптических изделий;</w:t>
      </w:r>
    </w:p>
    <w:p w:rsidR="000F3187" w:rsidRDefault="000F3187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27</w:t>
        </w:r>
      </w:hyperlink>
      <w:r>
        <w:t xml:space="preserve"> Производство электрического оборудования;</w:t>
      </w:r>
    </w:p>
    <w:p w:rsidR="000F3187" w:rsidRDefault="000F3187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28</w:t>
        </w:r>
      </w:hyperlink>
      <w:r>
        <w:t xml:space="preserve"> Производство машин и оборудования, не включенных в другие группировки;</w:t>
      </w:r>
    </w:p>
    <w:p w:rsidR="000F3187" w:rsidRDefault="000F3187">
      <w:pPr>
        <w:pStyle w:val="ConsPlusNormal"/>
        <w:spacing w:before="220"/>
        <w:ind w:firstLine="540"/>
        <w:jc w:val="both"/>
      </w:pPr>
      <w:hyperlink r:id="rId21" w:history="1">
        <w:r>
          <w:rPr>
            <w:color w:val="0000FF"/>
          </w:rPr>
          <w:t>29</w:t>
        </w:r>
      </w:hyperlink>
      <w:r>
        <w:t xml:space="preserve"> Производство автотранспортных средств, прицепов и полуприцепов;</w:t>
      </w:r>
    </w:p>
    <w:p w:rsidR="000F3187" w:rsidRDefault="000F3187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30</w:t>
        </w:r>
      </w:hyperlink>
      <w:r>
        <w:t xml:space="preserve"> Производство прочих транспортных средств и оборудования;</w:t>
      </w:r>
    </w:p>
    <w:p w:rsidR="000F3187" w:rsidRDefault="000F3187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31</w:t>
        </w:r>
      </w:hyperlink>
      <w:r>
        <w:t xml:space="preserve"> Производство мебели;</w:t>
      </w:r>
    </w:p>
    <w:p w:rsidR="000F3187" w:rsidRDefault="000F3187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32</w:t>
        </w:r>
      </w:hyperlink>
      <w:r>
        <w:t xml:space="preserve"> Производство прочих готовых изделий.</w:t>
      </w:r>
    </w:p>
    <w:p w:rsidR="000F3187" w:rsidRDefault="000F3187">
      <w:pPr>
        <w:pStyle w:val="ConsPlusNormal"/>
        <w:jc w:val="both"/>
      </w:pPr>
    </w:p>
    <w:p w:rsidR="000F3187" w:rsidRDefault="000F3187">
      <w:pPr>
        <w:pStyle w:val="ConsPlusTitle"/>
        <w:ind w:firstLine="540"/>
        <w:jc w:val="both"/>
        <w:outlineLvl w:val="0"/>
      </w:pPr>
      <w:r>
        <w:t>Статья 4. Категории объектов основных средств, в отношении которых налогоплательщикам предоставляется право на применение инвестиционного налогового вычета</w:t>
      </w:r>
    </w:p>
    <w:p w:rsidR="000F3187" w:rsidRDefault="000F3187">
      <w:pPr>
        <w:pStyle w:val="ConsPlusNormal"/>
        <w:jc w:val="both"/>
      </w:pPr>
    </w:p>
    <w:p w:rsidR="000F3187" w:rsidRDefault="000F3187">
      <w:pPr>
        <w:pStyle w:val="ConsPlusNormal"/>
        <w:ind w:firstLine="540"/>
        <w:jc w:val="both"/>
      </w:pPr>
      <w:proofErr w:type="gramStart"/>
      <w:r>
        <w:t>Инвестиционный налоговый вычет применяется к объектам основных средств, относящихся к третьей - восьмой амортизационным группам (за исключением относящихся к третьей - пятой амортизационным группам автомобилей легковых, а также за исключением относящихся к восьмой амортизационной группе зданий, сооружений, передаточных устройств), по месту нахождения организации и (или) по месту нахождения ее обособленных подразделений, к которым относятся указанные объекты.</w:t>
      </w:r>
      <w:proofErr w:type="gramEnd"/>
    </w:p>
    <w:p w:rsidR="000F3187" w:rsidRDefault="000F3187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Саратовской области от 30.06.2020 N 77-ЗСО)</w:t>
      </w:r>
    </w:p>
    <w:p w:rsidR="000F3187" w:rsidRDefault="000F3187">
      <w:pPr>
        <w:pStyle w:val="ConsPlusNormal"/>
        <w:jc w:val="both"/>
      </w:pPr>
    </w:p>
    <w:p w:rsidR="000F3187" w:rsidRDefault="000F3187">
      <w:pPr>
        <w:pStyle w:val="ConsPlusTitle"/>
        <w:ind w:firstLine="540"/>
        <w:jc w:val="both"/>
        <w:outlineLvl w:val="0"/>
      </w:pPr>
      <w:r>
        <w:t>Статья 5. Вступление в силу настоящего Закона</w:t>
      </w:r>
    </w:p>
    <w:p w:rsidR="000F3187" w:rsidRDefault="000F3187">
      <w:pPr>
        <w:pStyle w:val="ConsPlusNormal"/>
        <w:jc w:val="both"/>
      </w:pPr>
    </w:p>
    <w:p w:rsidR="000F3187" w:rsidRDefault="000F3187">
      <w:pPr>
        <w:pStyle w:val="ConsPlusNormal"/>
        <w:ind w:firstLine="540"/>
        <w:jc w:val="both"/>
      </w:pPr>
      <w:r>
        <w:t>Настоящий Закон вступает в силу не ранее чем по истечении одного месяца со дня его официального опубликования и не ранее 1-го числа очередного налогового периода по налогу на прибыль организаций и действует по 31 декабря 2027 года включительно.</w:t>
      </w:r>
    </w:p>
    <w:p w:rsidR="000F3187" w:rsidRDefault="000F3187">
      <w:pPr>
        <w:pStyle w:val="ConsPlusNormal"/>
        <w:jc w:val="both"/>
      </w:pPr>
    </w:p>
    <w:p w:rsidR="000F3187" w:rsidRDefault="000F3187">
      <w:pPr>
        <w:pStyle w:val="ConsPlusNormal"/>
        <w:jc w:val="right"/>
      </w:pPr>
      <w:r>
        <w:t>Губернатор</w:t>
      </w:r>
    </w:p>
    <w:p w:rsidR="000F3187" w:rsidRDefault="000F3187">
      <w:pPr>
        <w:pStyle w:val="ConsPlusNormal"/>
        <w:jc w:val="right"/>
      </w:pPr>
      <w:r>
        <w:t>Саратовской области</w:t>
      </w:r>
    </w:p>
    <w:p w:rsidR="000F3187" w:rsidRDefault="000F3187">
      <w:pPr>
        <w:pStyle w:val="ConsPlusNormal"/>
        <w:jc w:val="right"/>
      </w:pPr>
      <w:r>
        <w:t>В.В.РАДАЕВ</w:t>
      </w:r>
    </w:p>
    <w:p w:rsidR="000F3187" w:rsidRDefault="000F3187">
      <w:pPr>
        <w:pStyle w:val="ConsPlusNormal"/>
      </w:pPr>
      <w:r>
        <w:t>г. Саратов</w:t>
      </w:r>
    </w:p>
    <w:p w:rsidR="000F3187" w:rsidRDefault="000F3187">
      <w:pPr>
        <w:pStyle w:val="ConsPlusNormal"/>
        <w:spacing w:before="220"/>
      </w:pPr>
      <w:r>
        <w:t>26 ноября 2019 года</w:t>
      </w:r>
    </w:p>
    <w:p w:rsidR="000F3187" w:rsidRDefault="000F3187">
      <w:pPr>
        <w:pStyle w:val="ConsPlusNormal"/>
        <w:spacing w:before="220"/>
      </w:pPr>
      <w:r>
        <w:t>N 118-ЗСО</w:t>
      </w:r>
    </w:p>
    <w:p w:rsidR="000F3187" w:rsidRDefault="000F3187">
      <w:pPr>
        <w:pStyle w:val="ConsPlusNormal"/>
        <w:jc w:val="both"/>
      </w:pPr>
    </w:p>
    <w:p w:rsidR="000F3187" w:rsidRDefault="000F3187">
      <w:pPr>
        <w:pStyle w:val="ConsPlusNormal"/>
        <w:jc w:val="both"/>
      </w:pPr>
    </w:p>
    <w:p w:rsidR="000F3187" w:rsidRDefault="000F31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4DD5" w:rsidRDefault="00CB4DD5"/>
    <w:sectPr w:rsidR="00CB4DD5" w:rsidSect="007B5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0F3187"/>
    <w:rsid w:val="000F3187"/>
    <w:rsid w:val="00CB4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1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31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31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1DDB45FA555D7004D073F55ED86092FCCD8491D5DF340DE6F01978F5472C45D95F66917ECE2A2B60E8B0A4FD831E2A5F95D15D0495BCh0q7I" TargetMode="External"/><Relationship Id="rId13" Type="http://schemas.openxmlformats.org/officeDocument/2006/relationships/hyperlink" Target="consultantplus://offline/ref=FD1DDB45FA555D7004D073F55ED86092FCCD8596DDDF340DE6F01978F5472C45D95F669179C9282E6DB7B5B1ECDB1029418BD6441897BE04hBqFI" TargetMode="External"/><Relationship Id="rId18" Type="http://schemas.openxmlformats.org/officeDocument/2006/relationships/hyperlink" Target="consultantplus://offline/ref=FD1DDB45FA555D7004D073F55ED86092FCCD8596DDDF340DE6F01978F5472C45D95F669179CC2F2863B7B5B1ECDB1029418BD6441897BE04hBqFI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D1DDB45FA555D7004D073F55ED86092FCCD8596DDDF340DE6F01978F5472C45D95F669179CB2D2B6EB7B5B1ECDB1029418BD6441897BE04hBqFI" TargetMode="External"/><Relationship Id="rId7" Type="http://schemas.openxmlformats.org/officeDocument/2006/relationships/hyperlink" Target="consultantplus://offline/ref=FD1DDB45FA555D7004D073F55ED86092FCCD8491D5DF340DE6F01978F5472C45D95F66917EC9282460E8B0A4FD831E2A5F95D15D0495BCh0q7I" TargetMode="External"/><Relationship Id="rId12" Type="http://schemas.openxmlformats.org/officeDocument/2006/relationships/hyperlink" Target="consultantplus://offline/ref=FD1DDB45FA555D7004D073F55ED86092FCCD8596DDDF340DE6F01978F5472C45CB5F3E9D7AC9372D6CA2E3E0AAh8qFI" TargetMode="External"/><Relationship Id="rId17" Type="http://schemas.openxmlformats.org/officeDocument/2006/relationships/hyperlink" Target="consultantplus://offline/ref=FD1DDB45FA555D7004D073F55ED86092FCCD8596DDDF340DE6F01978F5472C45D95F669179C82C2B6CB7B5B1ECDB1029418BD6441897BE04hBqFI" TargetMode="External"/><Relationship Id="rId25" Type="http://schemas.openxmlformats.org/officeDocument/2006/relationships/hyperlink" Target="consultantplus://offline/ref=FD1DDB45FA555D7004D06DF848B43D9AF7CED39ED5DD3E5BB3A31F2FAA172A10991F60C43A8D242C6BBCE1E1AB85497B05C0DB40068BBE01A087FC92hFq8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D1DDB45FA555D7004D06DF848B43D9AF7CED39ED5DD3E5BB3A31F2FAA172A10991F60C43A8D242C6BBCE1E1A885497B05C0DB40068BBE01A087FC92hFq8I" TargetMode="External"/><Relationship Id="rId20" Type="http://schemas.openxmlformats.org/officeDocument/2006/relationships/hyperlink" Target="consultantplus://offline/ref=FD1DDB45FA555D7004D073F55ED86092FCCD8596DDDF340DE6F01978F5472C45D95F669179CB2B2D6BB7B5B1ECDB1029418BD6441897BE04hBq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D1DDB45FA555D7004D073F55ED86092FCCD8491D5DF340DE6F01978F5472C45D95F66917EC9282560E8B0A4FD831E2A5F95D15D0495BCh0q7I" TargetMode="External"/><Relationship Id="rId11" Type="http://schemas.openxmlformats.org/officeDocument/2006/relationships/hyperlink" Target="consultantplus://offline/ref=FD1DDB45FA555D7004D06DF848B43D9AF7CED39ED5DD3E52B8A11F2FAA172A10991F60C43A8D242C6BBCE1E2AD85497B05C0DB40068BBE01A087FC92hFq8I" TargetMode="External"/><Relationship Id="rId24" Type="http://schemas.openxmlformats.org/officeDocument/2006/relationships/hyperlink" Target="consultantplus://offline/ref=FD1DDB45FA555D7004D073F55ED86092FCCD8596DDDF340DE6F01978F5472C45D95F669179CB2F2F69B7B5B1ECDB1029418BD6441897BE04hBqFI" TargetMode="External"/><Relationship Id="rId5" Type="http://schemas.openxmlformats.org/officeDocument/2006/relationships/hyperlink" Target="consultantplus://offline/ref=FD1DDB45FA555D7004D06DF848B43D9AF7CED39ED5DD3E5BB3A31F2FAA172A10991F60C43A8D242C6BBCE1E0A085497B05C0DB40068BBE01A087FC92hFq8I" TargetMode="External"/><Relationship Id="rId15" Type="http://schemas.openxmlformats.org/officeDocument/2006/relationships/hyperlink" Target="consultantplus://offline/ref=FD1DDB45FA555D7004D073F55ED86092FCCD8596DDDF340DE6F01978F5472C45D95F669179C92E2C6FB7B5B1ECDB1029418BD6441897BE04hBqFI" TargetMode="External"/><Relationship Id="rId23" Type="http://schemas.openxmlformats.org/officeDocument/2006/relationships/hyperlink" Target="consultantplus://offline/ref=FD1DDB45FA555D7004D073F55ED86092FCCD8596DDDF340DE6F01978F5472C45D95F669179CB2F2D62B7B5B1ECDB1029418BD6441897BE04hBqFI" TargetMode="External"/><Relationship Id="rId10" Type="http://schemas.openxmlformats.org/officeDocument/2006/relationships/hyperlink" Target="consultantplus://offline/ref=FD1DDB45FA555D7004D073F55ED86092FCCD8491D5DF340DE6F01978F5472C45D95F669179CB29256AB7B5B1ECDB1029418BD6441897BE04hBqFI" TargetMode="External"/><Relationship Id="rId19" Type="http://schemas.openxmlformats.org/officeDocument/2006/relationships/hyperlink" Target="consultantplus://offline/ref=FD1DDB45FA555D7004D073F55ED86092FCCD8596DDDF340DE6F01978F5472C45D95F669179CB282F6CB7B5B1ECDB1029418BD6441897BE04hBqF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D1DDB45FA555D7004D073F55ED86092FCCD8491D5DF340DE6F01978F5472C45D95F66947BCE29263FEDA5B5A58D1D344192C8410697hBqFI" TargetMode="External"/><Relationship Id="rId14" Type="http://schemas.openxmlformats.org/officeDocument/2006/relationships/hyperlink" Target="consultantplus://offline/ref=FD1DDB45FA555D7004D073F55ED86092FCCD8596DDDF340DE6F01978F5472C45D95F669179C92D2E63B7B5B1ECDB1029418BD6441897BE04hBqFI" TargetMode="External"/><Relationship Id="rId22" Type="http://schemas.openxmlformats.org/officeDocument/2006/relationships/hyperlink" Target="consultantplus://offline/ref=FD1DDB45FA555D7004D073F55ED86092FCCD8596DDDF340DE6F01978F5472C45D95F669179CB2C2C63B7B5B1ECDB1029418BD6441897BE04hBqF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1247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Фомин_ДИ</dc:creator>
  <cp:lastModifiedBy>Фомин_ДИ</cp:lastModifiedBy>
  <cp:revision>1</cp:revision>
  <dcterms:created xsi:type="dcterms:W3CDTF">2021-07-30T08:42:00Z</dcterms:created>
  <dcterms:modified xsi:type="dcterms:W3CDTF">2021-07-30T08:42:00Z</dcterms:modified>
</cp:coreProperties>
</file>